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B33A3A"/>
          <w:sz w:val="20"/>
          <w:szCs w:val="20"/>
        </w:rPr>
        <w:t xml:space="preserve">CAPE INFORMATION TECHNOLOGY — UNIT 2</w:t>
      </w:r>
    </w:p>
    <w:p>
      <w:pPr>
        <w:spacing w:after="240"/>
        <w:jc w:val="center"/>
      </w:pPr>
      <w:r>
        <w:rPr>
          <w:b/>
          <w:bCs/>
          <w:color w:val="1C2541"/>
          <w:sz w:val="40"/>
          <w:szCs w:val="40"/>
        </w:rPr>
        <w:t xml:space="preserve">Module 1 — Information Management: Lesson Plan</w:t>
      </w:r>
    </w:p>
    <w:p>
      <w:pPr>
        <w:spacing w:after="300"/>
        <w:jc w:val="center"/>
      </w:pPr>
      <w:r>
        <w:rPr>
          <w:i/>
          <w:iCs/>
          <w:color w:val="3E7C74"/>
          <w:sz w:val="22"/>
          <w:szCs w:val="22"/>
        </w:rPr>
        <w:t xml:space="preserve">Specific Objective 1: Differentiate among the terms used in Information Management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4560"/>
        <w:gridCol w:w="2400"/>
      </w:tblGrid>
      <w:tr>
        <w:tc>
          <w:tcPr>
            <w:tcW w:type="dxa" w:w="2400"/>
            <w:shd w:fill="EAE2CF" w:color="auto" w:val="clear"/>
            <w:tcMar>
              <w:top w:type="dxa" w:w="100"/>
              <w:left w:type="dxa" w:w="120"/>
              <w:bottom w:type="dxa" w:w="100"/>
              <w:right w:type="dxa" w:w="120"/>
            </w:tcMar>
          </w:tcPr>
          <w:p>
            <w:r>
              <w:rPr>
                <w:b/>
                <w:bCs/>
                <w:color w:val="1C2541"/>
                <w:sz w:val="20"/>
                <w:szCs w:val="20"/>
              </w:rPr>
              <w:t xml:space="preserve">Subject</w:t>
            </w:r>
          </w:p>
        </w:tc>
        <w:tc>
          <w:tcPr>
            <w:tcW w:type="dxa" w:w="4560"/>
            <w:tcMar>
              <w:top w:type="dxa" w:w="100"/>
              <w:left w:type="dxa" w:w="120"/>
              <w:bottom w:type="dxa" w:w="100"/>
              <w:right w:type="dxa" w:w="120"/>
            </w:tcMar>
          </w:tcPr>
          <w:p>
            <w:r>
              <w:rPr>
                <w:b w:val="false"/>
                <w:bCs w:val="false"/>
                <w:color w:val="1C2541"/>
                <w:sz w:val="20"/>
                <w:szCs w:val="20"/>
              </w:rPr>
              <w:t xml:space="preserve">CAPE Information Technology</w:t>
            </w:r>
          </w:p>
        </w:tc>
        <w:tc>
          <w:tcPr>
            <w:tcW w:type="dxa" w:w="2400"/>
            <w:shd w:fill="EAE2CF" w:color="auto" w:val="clear"/>
            <w:tcMar>
              <w:top w:type="dxa" w:w="100"/>
              <w:left w:type="dxa" w:w="120"/>
              <w:bottom w:type="dxa" w:w="100"/>
              <w:right w:type="dxa" w:w="120"/>
            </w:tcMar>
          </w:tcPr>
          <w:p>
            <w:r>
              <w:rPr>
                <w:b/>
                <w:bCs/>
                <w:color w:val="1C2541"/>
                <w:sz w:val="20"/>
                <w:szCs w:val="20"/>
              </w:rPr>
              <w:t xml:space="preserve">Duration: 80 minutes</w:t>
            </w:r>
          </w:p>
        </w:tc>
      </w:tr>
      <w:tr>
        <w:tc>
          <w:tcPr>
            <w:tcW w:type="dxa" w:w="2400"/>
            <w:shd w:fill="EAE2CF" w:color="auto" w:val="clear"/>
            <w:tcMar>
              <w:top w:type="dxa" w:w="100"/>
              <w:left w:type="dxa" w:w="120"/>
              <w:bottom w:type="dxa" w:w="100"/>
              <w:right w:type="dxa" w:w="120"/>
            </w:tcMar>
          </w:tcPr>
          <w:p>
            <w:r>
              <w:rPr>
                <w:b/>
                <w:bCs/>
                <w:color w:val="1C2541"/>
                <w:sz w:val="20"/>
                <w:szCs w:val="20"/>
              </w:rPr>
              <w:t xml:space="preserve">Unit / Module</w:t>
            </w:r>
          </w:p>
        </w:tc>
        <w:tc>
          <w:tcPr>
            <w:tcW w:type="dxa" w:w="4560"/>
            <w:tcMar>
              <w:top w:type="dxa" w:w="100"/>
              <w:left w:type="dxa" w:w="120"/>
              <w:bottom w:type="dxa" w:w="100"/>
              <w:right w:type="dxa" w:w="120"/>
            </w:tcMar>
          </w:tcPr>
          <w:p>
            <w:r>
              <w:rPr>
                <w:b w:val="false"/>
                <w:bCs w:val="false"/>
                <w:color w:val="1C2541"/>
                <w:sz w:val="20"/>
                <w:szCs w:val="20"/>
              </w:rPr>
              <w:t xml:space="preserve">Unit 2, Module 1: Information Management</w:t>
            </w:r>
          </w:p>
        </w:tc>
        <w:tc>
          <w:tcPr>
            <w:tcW w:type="dxa" w:w="2400"/>
            <w:shd w:fill="EAE2CF" w:color="auto" w:val="clear"/>
            <w:tcMar>
              <w:top w:type="dxa" w:w="100"/>
              <w:left w:type="dxa" w:w="120"/>
              <w:bottom w:type="dxa" w:w="100"/>
              <w:right w:type="dxa" w:w="120"/>
            </w:tcMar>
          </w:tcPr>
          <w:p>
            <w:r>
              <w:rPr>
                <w:b/>
                <w:bCs/>
                <w:color w:val="1C2541"/>
                <w:sz w:val="20"/>
                <w:szCs w:val="20"/>
              </w:rPr>
              <w:t xml:space="preserve">Class: CAPE Unit 2</w:t>
            </w:r>
          </w:p>
        </w:tc>
      </w:tr>
      <w:tr>
        <w:tc>
          <w:tcPr>
            <w:tcW w:type="dxa" w:w="2400"/>
            <w:shd w:fill="EAE2CF" w:color="auto" w:val="clear"/>
            <w:tcMar>
              <w:top w:type="dxa" w:w="100"/>
              <w:left w:type="dxa" w:w="120"/>
              <w:bottom w:type="dxa" w:w="100"/>
              <w:right w:type="dxa" w:w="120"/>
            </w:tcMar>
          </w:tcPr>
          <w:p>
            <w:r>
              <w:rPr>
                <w:b/>
                <w:bCs/>
                <w:color w:val="1C2541"/>
                <w:sz w:val="20"/>
                <w:szCs w:val="20"/>
              </w:rPr>
              <w:t xml:space="preserve">Topic</w:t>
            </w:r>
          </w:p>
        </w:tc>
        <w:tc>
          <w:tcPr>
            <w:tcW w:type="dxa" w:w="4560"/>
            <w:tcMar>
              <w:top w:type="dxa" w:w="100"/>
              <w:left w:type="dxa" w:w="120"/>
              <w:bottom w:type="dxa" w:w="100"/>
              <w:right w:type="dxa" w:w="120"/>
            </w:tcMar>
          </w:tcPr>
          <w:p>
            <w:r>
              <w:rPr>
                <w:b w:val="false"/>
                <w:bCs w:val="false"/>
                <w:color w:val="1C2541"/>
                <w:sz w:val="20"/>
                <w:szCs w:val="20"/>
              </w:rPr>
              <w:t xml:space="preserve">Key terms in Information Management: field, record, table, file, database, DBMS</w:t>
            </w:r>
          </w:p>
        </w:tc>
        <w:tc>
          <w:tcPr>
            <w:tcW w:type="dxa" w:w="2400"/>
            <w:shd w:fill="EAE2CF" w:color="auto" w:val="clear"/>
            <w:tcMar>
              <w:top w:type="dxa" w:w="100"/>
              <w:left w:type="dxa" w:w="120"/>
              <w:bottom w:type="dxa" w:w="100"/>
              <w:right w:type="dxa" w:w="120"/>
            </w:tcMar>
          </w:tcPr>
          <w:p>
            <w:r>
              <w:rPr>
                <w:b/>
                <w:bCs/>
                <w:color w:val="1C2541"/>
                <w:sz w:val="20"/>
                <w:szCs w:val="20"/>
              </w:rPr>
              <w:t xml:space="preserve">Lower/Upper Sixth</w:t>
            </w:r>
          </w:p>
        </w:tc>
      </w:tr>
      <w:tr>
        <w:tc>
          <w:tcPr>
            <w:tcW w:type="dxa" w:w="2400"/>
            <w:shd w:fill="EAE2CF" w:color="auto" w:val="clear"/>
            <w:tcMar>
              <w:top w:type="dxa" w:w="100"/>
              <w:left w:type="dxa" w:w="120"/>
              <w:bottom w:type="dxa" w:w="100"/>
              <w:right w:type="dxa" w:w="120"/>
            </w:tcMar>
          </w:tcPr>
          <w:p>
            <w:r>
              <w:rPr>
                <w:b/>
                <w:bCs/>
                <w:color w:val="1C2541"/>
                <w:sz w:val="20"/>
                <w:szCs w:val="20"/>
              </w:rPr>
              <w:t xml:space="preserve">Specific Objective</w:t>
            </w:r>
          </w:p>
        </w:tc>
        <w:tc>
          <w:tcPr>
            <w:tcW w:type="dxa" w:w="4560"/>
            <w:tcMar>
              <w:top w:type="dxa" w:w="100"/>
              <w:left w:type="dxa" w:w="120"/>
              <w:bottom w:type="dxa" w:w="100"/>
              <w:right w:type="dxa" w:w="120"/>
            </w:tcMar>
          </w:tcPr>
          <w:p>
            <w:r>
              <w:rPr>
                <w:b w:val="false"/>
                <w:bCs w:val="false"/>
                <w:color w:val="1C2541"/>
                <w:sz w:val="20"/>
                <w:szCs w:val="20"/>
              </w:rPr>
              <w:t xml:space="preserve">Differentiate among the terms used in Information Management</w:t>
            </w:r>
          </w:p>
        </w:tc>
        <w:tc>
          <w:tcPr>
            <w:tcW w:type="dxa" w:w="2400"/>
            <w:shd w:fill="EAE2CF" w:color="auto" w:val="clear"/>
            <w:tcMar>
              <w:top w:type="dxa" w:w="100"/>
              <w:left w:type="dxa" w:w="120"/>
              <w:bottom w:type="dxa" w:w="100"/>
              <w:right w:type="dxa" w:w="120"/>
            </w:tcMar>
          </w:tcPr>
          <w:p>
            <w:r>
              <w:rPr>
                <w:b/>
                <w:bCs/>
                <w:color w:val="1C2541"/>
                <w:sz w:val="20"/>
                <w:szCs w:val="20"/>
              </w:rPr>
              <w:t xml:space="preserve">Content ref.: Unit 2, Module 1</w:t>
            </w:r>
          </w:p>
        </w:tc>
      </w:tr>
    </w:tbl>
    <w:p>
      <w:pPr>
        <w:spacing w:after="120"/>
      </w:pPr>
      <w:r>
        <w:t xml:space="preserve"/>
      </w:r>
    </w:p>
    <w:p>
      <w:pPr>
        <w:pStyle w:val="Heading2"/>
        <w:spacing w:after="120" w:before="240"/>
      </w:pPr>
      <w:r>
        <w:rPr>
          <w:b/>
          <w:bCs/>
          <w:color w:val="3E7C74"/>
        </w:rPr>
        <w:t xml:space="preserve">Prior Knowledge</w:t>
      </w:r>
    </w:p>
    <w:p>
      <w:pPr>
        <w:spacing w:after="120"/>
      </w:pPr>
      <w:r>
        <w:t xml:space="preserve">Students are assumed to have completed CAPE IT Unit 1 (or an equivalent CSEC Information Technology course) and to already be able to:</w:t>
      </w:r>
    </w:p>
    <w:p>
      <w:pPr>
        <w:pStyle w:val="ListParagraph"/>
        <w:numPr>
          <w:ilvl w:val="0"/>
          <w:numId w:val="2"/>
        </w:numPr>
        <w:spacing w:after="60"/>
      </w:pPr>
      <w:r>
        <w:t xml:space="preserve">Describe a computer system in terms of hardware, software and data.</w:t>
      </w:r>
    </w:p>
    <w:p>
      <w:pPr>
        <w:pStyle w:val="ListParagraph"/>
        <w:numPr>
          <w:ilvl w:val="0"/>
          <w:numId w:val="2"/>
        </w:numPr>
        <w:spacing w:after="60"/>
      </w:pPr>
      <w:r>
        <w:t xml:space="preserve">Explain, in general terms, what a file is used for on a computer.</w:t>
      </w:r>
    </w:p>
    <w:p>
      <w:pPr>
        <w:pStyle w:val="ListParagraph"/>
        <w:numPr>
          <w:ilvl w:val="0"/>
          <w:numId w:val="2"/>
        </w:numPr>
        <w:spacing w:after="60"/>
      </w:pPr>
      <w:r>
        <w:t xml:space="preserve">Recognise everyday examples of organised information, e.g. a school register or a phone contact list.</w:t>
      </w:r>
    </w:p>
    <w:p>
      <w:pPr>
        <w:pStyle w:val="Heading2"/>
        <w:spacing w:after="120" w:before="240"/>
      </w:pPr>
      <w:r>
        <w:rPr>
          <w:b/>
          <w:bCs/>
          <w:color w:val="3E7C74"/>
        </w:rPr>
        <w:t xml:space="preserve">Behavioural (Learning) Objectives</w:t>
      </w:r>
    </w:p>
    <w:p>
      <w:pPr>
        <w:spacing w:after="120"/>
      </w:pPr>
      <w:r>
        <w:t xml:space="preserve">By the end of the lesson, students should be able to:</w:t>
      </w:r>
    </w:p>
    <w:p>
      <w:pPr>
        <w:pStyle w:val="ListParagraph"/>
        <w:numPr>
          <w:ilvl w:val="0"/>
          <w:numId w:val="2"/>
        </w:numPr>
        <w:spacing w:after="60"/>
      </w:pPr>
      <w:r>
        <w:t xml:space="preserve">Define the terms field, record, table, file, database and database management system (DBMS).</w:t>
      </w:r>
    </w:p>
    <w:p>
      <w:pPr>
        <w:pStyle w:val="ListParagraph"/>
        <w:numPr>
          <w:ilvl w:val="0"/>
          <w:numId w:val="2"/>
        </w:numPr>
        <w:spacing w:after="60"/>
      </w:pPr>
      <w:r>
        <w:t xml:space="preserve">Distinguish a database from a DBMS, explaining why the two are often confused.</w:t>
      </w:r>
    </w:p>
    <w:p>
      <w:pPr>
        <w:pStyle w:val="ListParagraph"/>
        <w:numPr>
          <w:ilvl w:val="0"/>
          <w:numId w:val="2"/>
        </w:numPr>
        <w:spacing w:after="60"/>
      </w:pPr>
      <w:r>
        <w:t xml:space="preserve">Arrange the terms hierarchy correctly, from DBMS down to field.</w:t>
      </w:r>
    </w:p>
    <w:p>
      <w:pPr>
        <w:pStyle w:val="ListParagraph"/>
        <w:numPr>
          <w:ilvl w:val="0"/>
          <w:numId w:val="2"/>
        </w:numPr>
        <w:spacing w:after="60"/>
      </w:pPr>
      <w:r>
        <w:t xml:space="preserve">Identify a field, a record and a table within a given real-world scenario (e.g. a student information table).</w:t>
      </w:r>
    </w:p>
    <w:p>
      <w:pPr>
        <w:pStyle w:val="Heading2"/>
        <w:spacing w:after="120" w:before="240"/>
      </w:pPr>
      <w:r>
        <w:rPr>
          <w:b/>
          <w:bCs/>
          <w:color w:val="3E7C74"/>
        </w:rPr>
        <w:t xml:space="preserve">Materials &amp; Resources</w:t>
      </w:r>
    </w:p>
    <w:p>
      <w:pPr>
        <w:pStyle w:val="ListParagraph"/>
        <w:numPr>
          <w:ilvl w:val="0"/>
          <w:numId w:val="2"/>
        </w:numPr>
        <w:spacing w:after="60"/>
      </w:pPr>
      <w:r>
        <w:t xml:space="preserve">Whiteboard / projector and the “Data Hierarchy” interactive explainer lesson (data-hierarchy-explainer.html)</w:t>
      </w:r>
    </w:p>
    <w:p>
      <w:pPr>
        <w:pStyle w:val="ListParagraph"/>
        <w:numPr>
          <w:ilvl w:val="0"/>
          <w:numId w:val="2"/>
        </w:numPr>
        <w:spacing w:after="60"/>
      </w:pPr>
      <w:r>
        <w:t xml:space="preserve">Printed or displayed excerpt from “Keep It Simple and Study” (Campbell) — the student results table example (Ricardo Morgan / Chavel Folkes)</w:t>
      </w:r>
    </w:p>
    <w:p>
      <w:pPr>
        <w:pStyle w:val="ListParagraph"/>
        <w:numPr>
          <w:ilvl w:val="0"/>
          <w:numId w:val="2"/>
        </w:numPr>
        <w:spacing w:after="60"/>
      </w:pPr>
      <w:r>
        <w:t xml:space="preserve">CXC CAPE Information Technology syllabus, Unit 2, Module 1 (for the exact Specific Objective and Content wording)</w:t>
      </w:r>
    </w:p>
    <w:p>
      <w:pPr>
        <w:pStyle w:val="ListParagraph"/>
        <w:numPr>
          <w:ilvl w:val="0"/>
          <w:numId w:val="2"/>
        </w:numPr>
        <w:spacing w:after="60"/>
      </w:pPr>
      <w:r>
        <w:t xml:space="preserve">Student worksheet: blank data-hierarchy ladder diagram to be labelled during the lesson</w:t>
      </w:r>
    </w:p>
    <w:p>
      <w:pPr>
        <w:pStyle w:val="Heading2"/>
        <w:spacing w:after="120" w:before="240"/>
      </w:pPr>
      <w:r>
        <w:rPr>
          <w:b/>
          <w:bCs/>
          <w:color w:val="3E7C74"/>
        </w:rPr>
        <w:t xml:space="preserve">Key Vocabulary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shd w:fill="3E7C74" w:color="auto" w:val="clear"/>
            <w:tcMar>
              <w:top w:type="dxa" w:w="100"/>
              <w:left w:type="dxa" w:w="120"/>
              <w:bottom w:type="dxa" w:w="100"/>
              <w:right w:type="dxa" w:w="120"/>
            </w:tcMar>
          </w:tcPr>
          <w:p>
            <w:r>
              <w:rPr>
                <w:b/>
                <w:bCs/>
                <w:color w:val="FFFFFF"/>
                <w:sz w:val="20"/>
                <w:szCs w:val="20"/>
              </w:rPr>
              <w:t xml:space="preserve">Term</w:t>
            </w:r>
          </w:p>
        </w:tc>
        <w:tc>
          <w:tcPr>
            <w:tcW w:type="dxa" w:w="7160"/>
            <w:shd w:fill="3E7C74" w:color="auto" w:val="clear"/>
            <w:tcMar>
              <w:top w:type="dxa" w:w="100"/>
              <w:left w:type="dxa" w:w="120"/>
              <w:bottom w:type="dxa" w:w="100"/>
              <w:right w:type="dxa" w:w="120"/>
            </w:tcMar>
          </w:tcPr>
          <w:p>
            <w:r>
              <w:rPr>
                <w:b/>
                <w:bCs/>
                <w:color w:val="FFFFFF"/>
                <w:sz w:val="20"/>
                <w:szCs w:val="20"/>
              </w:rPr>
              <w:t xml:space="preserve">Working definition for this lesson</w:t>
            </w:r>
          </w:p>
        </w:tc>
      </w:tr>
      <w:tr>
        <w:tc>
          <w:tcPr>
            <w:tcW w:type="dxa" w:w="2200"/>
            <w:shd w:fill="F4EFE3" w:color="auto" w:val="clear"/>
            <w:tcMar>
              <w:top w:type="dxa" w:w="100"/>
              <w:left w:type="dxa" w:w="120"/>
              <w:bottom w:type="dxa" w:w="100"/>
              <w:right w:type="dxa" w:w="120"/>
            </w:tcMar>
          </w:tcPr>
          <w:p>
            <w:r>
              <w:rPr>
                <w:b w:val="false"/>
                <w:bCs w:val="false"/>
                <w:color w:val="1C2541"/>
                <w:sz w:val="20"/>
                <w:szCs w:val="20"/>
              </w:rPr>
              <w:t xml:space="preserve">Field</w:t>
            </w:r>
          </w:p>
        </w:tc>
        <w:tc>
          <w:tcPr>
            <w:tcW w:type="dxa" w:w="7160"/>
            <w:shd w:fill="F4EFE3" w:color="auto" w:val="clear"/>
            <w:tcMar>
              <w:top w:type="dxa" w:w="100"/>
              <w:left w:type="dxa" w:w="120"/>
              <w:bottom w:type="dxa" w:w="100"/>
              <w:right w:type="dxa" w:w="120"/>
            </w:tcMar>
          </w:tcPr>
          <w:p>
            <w:r>
              <w:rPr>
                <w:b w:val="false"/>
                <w:bCs w:val="false"/>
                <w:color w:val="1C2541"/>
                <w:sz w:val="20"/>
                <w:szCs w:val="20"/>
              </w:rPr>
              <w:t xml:space="preserve">The smallest named unit of data in a database — a single characteristic, e.g. Student Name.</w:t>
            </w:r>
          </w:p>
        </w:tc>
      </w:tr>
      <w:tr>
        <w:tc>
          <w:tcPr>
            <w:tcW w:type="dxa" w:w="2200"/>
            <w:tcMar>
              <w:top w:type="dxa" w:w="100"/>
              <w:left w:type="dxa" w:w="120"/>
              <w:bottom w:type="dxa" w:w="100"/>
              <w:right w:type="dxa" w:w="120"/>
            </w:tcMar>
          </w:tcPr>
          <w:p>
            <w:r>
              <w:rPr>
                <w:b w:val="false"/>
                <w:bCs w:val="false"/>
                <w:color w:val="1C2541"/>
                <w:sz w:val="20"/>
                <w:szCs w:val="20"/>
              </w:rPr>
              <w:t xml:space="preserve">Record</w:t>
            </w:r>
          </w:p>
        </w:tc>
        <w:tc>
          <w:tcPr>
            <w:tcW w:type="dxa" w:w="7160"/>
            <w:tcMar>
              <w:top w:type="dxa" w:w="100"/>
              <w:left w:type="dxa" w:w="120"/>
              <w:bottom w:type="dxa" w:w="100"/>
              <w:right w:type="dxa" w:w="120"/>
            </w:tcMar>
          </w:tcPr>
          <w:p>
            <w:r>
              <w:rPr>
                <w:b w:val="false"/>
                <w:bCs w:val="false"/>
                <w:color w:val="1C2541"/>
                <w:sz w:val="20"/>
                <w:szCs w:val="20"/>
              </w:rPr>
              <w:t xml:space="preserve">A complete set of related fields describing one entity, e.g. one student’s full row of data.</w:t>
            </w:r>
          </w:p>
        </w:tc>
      </w:tr>
      <w:tr>
        <w:tc>
          <w:tcPr>
            <w:tcW w:type="dxa" w:w="2200"/>
            <w:shd w:fill="F4EFE3" w:color="auto" w:val="clear"/>
            <w:tcMar>
              <w:top w:type="dxa" w:w="100"/>
              <w:left w:type="dxa" w:w="120"/>
              <w:bottom w:type="dxa" w:w="100"/>
              <w:right w:type="dxa" w:w="120"/>
            </w:tcMar>
          </w:tcPr>
          <w:p>
            <w:r>
              <w:rPr>
                <w:b w:val="false"/>
                <w:bCs w:val="false"/>
                <w:color w:val="1C2541"/>
                <w:sz w:val="20"/>
                <w:szCs w:val="20"/>
              </w:rPr>
              <w:t xml:space="preserve">Table</w:t>
            </w:r>
          </w:p>
        </w:tc>
        <w:tc>
          <w:tcPr>
            <w:tcW w:type="dxa" w:w="7160"/>
            <w:shd w:fill="F4EFE3" w:color="auto" w:val="clear"/>
            <w:tcMar>
              <w:top w:type="dxa" w:w="100"/>
              <w:left w:type="dxa" w:w="120"/>
              <w:bottom w:type="dxa" w:w="100"/>
              <w:right w:type="dxa" w:w="120"/>
            </w:tcMar>
          </w:tcPr>
          <w:p>
            <w:r>
              <w:rPr>
                <w:b w:val="false"/>
                <w:bCs w:val="false"/>
                <w:color w:val="1C2541"/>
                <w:sz w:val="20"/>
                <w:szCs w:val="20"/>
              </w:rPr>
              <w:t xml:space="preserve">A collection of related records, organised in rows and columns, describing one type of entity.</w:t>
            </w:r>
          </w:p>
        </w:tc>
      </w:tr>
      <w:tr>
        <w:tc>
          <w:tcPr>
            <w:tcW w:type="dxa" w:w="2200"/>
            <w:tcMar>
              <w:top w:type="dxa" w:w="100"/>
              <w:left w:type="dxa" w:w="120"/>
              <w:bottom w:type="dxa" w:w="100"/>
              <w:right w:type="dxa" w:w="120"/>
            </w:tcMar>
          </w:tcPr>
          <w:p>
            <w:r>
              <w:rPr>
                <w:b w:val="false"/>
                <w:bCs w:val="false"/>
                <w:color w:val="1C2541"/>
                <w:sz w:val="20"/>
                <w:szCs w:val="20"/>
              </w:rPr>
              <w:t xml:space="preserve">File / Database</w:t>
            </w:r>
          </w:p>
        </w:tc>
        <w:tc>
          <w:tcPr>
            <w:tcW w:type="dxa" w:w="7160"/>
            <w:tcMar>
              <w:top w:type="dxa" w:w="100"/>
              <w:left w:type="dxa" w:w="120"/>
              <w:bottom w:type="dxa" w:w="100"/>
              <w:right w:type="dxa" w:w="120"/>
            </w:tcMar>
          </w:tcPr>
          <w:p>
            <w:r>
              <w:rPr>
                <w:b w:val="false"/>
                <w:bCs w:val="false"/>
                <w:color w:val="1C2541"/>
                <w:sz w:val="20"/>
                <w:szCs w:val="20"/>
              </w:rPr>
              <w:t xml:space="preserve">A collection of related tables (or, more simply, an organised collection of related data).</w:t>
            </w:r>
          </w:p>
        </w:tc>
      </w:tr>
      <w:tr>
        <w:tc>
          <w:tcPr>
            <w:tcW w:type="dxa" w:w="2200"/>
            <w:shd w:fill="F4EFE3" w:color="auto" w:val="clear"/>
            <w:tcMar>
              <w:top w:type="dxa" w:w="100"/>
              <w:left w:type="dxa" w:w="120"/>
              <w:bottom w:type="dxa" w:w="100"/>
              <w:right w:type="dxa" w:w="120"/>
            </w:tcMar>
          </w:tcPr>
          <w:p>
            <w:r>
              <w:rPr>
                <w:b w:val="false"/>
                <w:bCs w:val="false"/>
                <w:color w:val="1C2541"/>
                <w:sz w:val="20"/>
                <w:szCs w:val="20"/>
              </w:rPr>
              <w:t xml:space="preserve">DBMS</w:t>
            </w:r>
          </w:p>
        </w:tc>
        <w:tc>
          <w:tcPr>
            <w:tcW w:type="dxa" w:w="7160"/>
            <w:shd w:fill="F4EFE3" w:color="auto" w:val="clear"/>
            <w:tcMar>
              <w:top w:type="dxa" w:w="100"/>
              <w:left w:type="dxa" w:w="120"/>
              <w:bottom w:type="dxa" w:w="100"/>
              <w:right w:type="dxa" w:w="120"/>
            </w:tcMar>
          </w:tcPr>
          <w:p>
            <w:r>
              <w:rPr>
                <w:b w:val="false"/>
                <w:bCs w:val="false"/>
                <w:color w:val="1C2541"/>
                <w:sz w:val="20"/>
                <w:szCs w:val="20"/>
              </w:rPr>
              <w:t xml:space="preserve">Software that creates, maintains and controls access to a database (e.g. MySQL, Oracle, Access).</w:t>
            </w:r>
          </w:p>
        </w:tc>
      </w:tr>
    </w:tbl>
    <w:p>
      <w:pPr>
        <w:spacing w:after="120"/>
      </w:pPr>
      <w:r>
        <w:t xml:space="preserve"/>
      </w:r>
    </w:p>
    <w:p>
      <w:pPr>
        <w:pStyle w:val="Heading2"/>
        <w:spacing w:after="120" w:before="240"/>
      </w:pPr>
      <w:r>
        <w:rPr>
          <w:b/>
          <w:bCs/>
          <w:color w:val="3E7C74"/>
        </w:rPr>
        <w:t xml:space="preserve">Lesson Development</w:t>
      </w:r>
    </w:p>
    <w:p>
      <w:pPr>
        <w:pStyle w:val="Heading3"/>
        <w:spacing w:after="120" w:before="240"/>
      </w:pPr>
      <w:r>
        <w:rPr>
          <w:b/>
          <w:bCs/>
          <w:color w:val="B33A3A"/>
        </w:rPr>
        <w:t xml:space="preserve">1. Set Induction (10 minutes)</w:t>
      </w:r>
    </w:p>
    <w:p>
      <w:pPr>
        <w:spacing w:after="120"/>
      </w:pPr>
      <w:r>
        <w:t xml:space="preserve">Display a simple paper school register on the board (Name, Age, Grade, Homeroom) and ask: “If I wanted this information on a computer instead of paper, what would I call each column? Each row? The whole table?” Take two or three verbal responses without correcting them yet — this surfaces students’ informal vocabulary before the formal terms are introduced, and creates a felt need for shared, precise terminology.</w:t>
      </w:r>
    </w:p>
    <w:p>
      <w:pPr>
        <w:pStyle w:val="Heading3"/>
        <w:spacing w:after="120" w:before="240"/>
      </w:pPr>
      <w:r>
        <w:rPr>
          <w:b/>
          <w:bCs/>
          <w:color w:val="B33A3A"/>
        </w:rPr>
        <w:t xml:space="preserve">2. Presentation / Explanation (20 minutes)</w:t>
      </w:r>
    </w:p>
    <w:p>
      <w:pPr>
        <w:spacing w:after="120"/>
      </w:pPr>
      <w:r>
        <w:t xml:space="preserve">Introduce the data hierarchy from smallest to largest unit, using the interactive explainer as a visual anchor:</w:t>
      </w:r>
    </w:p>
    <w:p>
      <w:pPr>
        <w:pStyle w:val="ListParagraph"/>
        <w:numPr>
          <w:ilvl w:val="0"/>
          <w:numId w:val="2"/>
        </w:numPr>
        <w:spacing w:after="60"/>
      </w:pPr>
      <w:r>
        <w:t xml:space="preserve">Field → the smallest unit (one column, e.g. Student Name)</w:t>
      </w:r>
    </w:p>
    <w:p>
      <w:pPr>
        <w:pStyle w:val="ListParagraph"/>
        <w:numPr>
          <w:ilvl w:val="0"/>
          <w:numId w:val="2"/>
        </w:numPr>
        <w:spacing w:after="60"/>
      </w:pPr>
      <w:r>
        <w:t xml:space="preserve">Record → a complete row made of related fields (e.g. one student’s full details)</w:t>
      </w:r>
    </w:p>
    <w:p>
      <w:pPr>
        <w:pStyle w:val="ListParagraph"/>
        <w:numPr>
          <w:ilvl w:val="0"/>
          <w:numId w:val="2"/>
        </w:numPr>
        <w:spacing w:after="60"/>
      </w:pPr>
      <w:r>
        <w:t xml:space="preserve">Table → a set of related records (e.g. all students in Form 6A)</w:t>
      </w:r>
    </w:p>
    <w:p>
      <w:pPr>
        <w:pStyle w:val="ListParagraph"/>
        <w:numPr>
          <w:ilvl w:val="0"/>
          <w:numId w:val="2"/>
        </w:numPr>
        <w:spacing w:after="60"/>
      </w:pPr>
      <w:r>
        <w:t xml:space="preserve">Database → one or more related tables treated as a single organised whole</w:t>
      </w:r>
    </w:p>
    <w:p>
      <w:pPr>
        <w:pStyle w:val="ListParagraph"/>
        <w:numPr>
          <w:ilvl w:val="0"/>
          <w:numId w:val="2"/>
        </w:numPr>
        <w:spacing w:after="60"/>
      </w:pPr>
      <w:r>
        <w:t xml:space="preserve">DBMS → the software (e.g. MySQL, Microsoft Access) used to create and manage that database</w:t>
      </w:r>
    </w:p>
    <w:p>
      <w:pPr>
        <w:spacing w:after="120"/>
      </w:pPr>
      <w:r>
        <w:t xml:space="preserve">Explicitly address the most common misconception: a database is the organised data itself; a DBMS is the software used to build, query and maintain that data. Use the analogy that a filing cabinet (the database) is not the same thing as the person or system that organises it (the DBMS).</w:t>
      </w:r>
    </w:p>
    <w:p>
      <w:pPr>
        <w:pStyle w:val="Heading3"/>
        <w:spacing w:after="120" w:before="240"/>
      </w:pPr>
      <w:r>
        <w:rPr>
          <w:b/>
          <w:bCs/>
          <w:color w:val="B33A3A"/>
        </w:rPr>
        <w:t xml:space="preserve">3. Guided Practice (15 minutes)</w:t>
      </w:r>
    </w:p>
    <w:p>
      <w:pPr>
        <w:spacing w:after="120"/>
      </w:pPr>
      <w:r>
        <w:t xml:space="preserve">Using the textbook’s student results table (Ricardo Morgan, Chavel Folkes and classmates), work through the following as a class: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3120"/>
      </w:tblGrid>
      <w:tr>
        <w:trPr>
          <w:tblHeader/>
        </w:trPr>
        <w:tc>
          <w:tcPr>
            <w:tcW w:type="dxa" w:w="1560"/>
            <w:shd w:fill="3E7C74" w:color="auto" w:val="clear"/>
            <w:tcMar>
              <w:top w:type="dxa" w:w="100"/>
              <w:left w:type="dxa" w:w="120"/>
              <w:bottom w:type="dxa" w:w="100"/>
              <w:right w:type="dxa" w:w="120"/>
            </w:tcMar>
          </w:tcPr>
          <w:p>
            <w:r>
              <w:rPr>
                <w:b/>
                <w:bCs/>
                <w:color w:val="FFFFFF"/>
                <w:sz w:val="20"/>
                <w:szCs w:val="20"/>
              </w:rPr>
              <w:t xml:space="preserve">Student No.</w:t>
            </w:r>
          </w:p>
        </w:tc>
        <w:tc>
          <w:tcPr>
            <w:tcW w:type="dxa" w:w="1560"/>
            <w:shd w:fill="3E7C74" w:color="auto" w:val="clear"/>
            <w:tcMar>
              <w:top w:type="dxa" w:w="100"/>
              <w:left w:type="dxa" w:w="120"/>
              <w:bottom w:type="dxa" w:w="100"/>
              <w:right w:type="dxa" w:w="120"/>
            </w:tcMar>
          </w:tcPr>
          <w:p>
            <w:r>
              <w:rPr>
                <w:b/>
                <w:bCs/>
                <w:color w:val="FFFFFF"/>
                <w:sz w:val="20"/>
                <w:szCs w:val="20"/>
              </w:rPr>
              <w:t xml:space="preserve">Name</w:t>
            </w:r>
          </w:p>
        </w:tc>
        <w:tc>
          <w:tcPr>
            <w:tcW w:type="dxa" w:w="1560"/>
            <w:shd w:fill="3E7C74" w:color="auto" w:val="clear"/>
            <w:tcMar>
              <w:top w:type="dxa" w:w="100"/>
              <w:left w:type="dxa" w:w="120"/>
              <w:bottom w:type="dxa" w:w="100"/>
              <w:right w:type="dxa" w:w="120"/>
            </w:tcMar>
          </w:tcPr>
          <w:p>
            <w:r>
              <w:rPr>
                <w:b/>
                <w:bCs/>
                <w:color w:val="FFFFFF"/>
                <w:sz w:val="20"/>
                <w:szCs w:val="20"/>
              </w:rPr>
              <w:t xml:space="preserve">Subject</w:t>
            </w:r>
          </w:p>
        </w:tc>
        <w:tc>
          <w:tcPr>
            <w:tcW w:type="dxa" w:w="1560"/>
            <w:shd w:fill="3E7C74" w:color="auto" w:val="clear"/>
            <w:tcMar>
              <w:top w:type="dxa" w:w="100"/>
              <w:left w:type="dxa" w:w="120"/>
              <w:bottom w:type="dxa" w:w="100"/>
              <w:right w:type="dxa" w:w="120"/>
            </w:tcMar>
          </w:tcPr>
          <w:p>
            <w:r>
              <w:rPr>
                <w:b/>
                <w:bCs/>
                <w:color w:val="FFFFFF"/>
                <w:sz w:val="20"/>
                <w:szCs w:val="20"/>
              </w:rPr>
              <w:t xml:space="preserve">Grade</w:t>
            </w:r>
          </w:p>
        </w:tc>
        <w:tc>
          <w:tcPr>
            <w:tcW w:type="dxa" w:w="3120"/>
            <w:shd w:fill="3E7C74" w:color="auto" w:val="clear"/>
            <w:tcMar>
              <w:top w:type="dxa" w:w="100"/>
              <w:left w:type="dxa" w:w="120"/>
              <w:bottom w:type="dxa" w:w="100"/>
              <w:right w:type="dxa" w:w="120"/>
            </w:tcMar>
          </w:tcPr>
          <w:p>
            <w:r>
              <w:rPr>
                <w:b/>
                <w:bCs/>
                <w:color w:val="FFFFFF"/>
                <w:sz w:val="20"/>
                <w:szCs w:val="20"/>
              </w:rPr>
              <w:t xml:space="preserve">Which term applies here?</w:t>
            </w:r>
          </w:p>
        </w:tc>
      </w:tr>
      <w:tr>
        <w:tc>
          <w:tcPr>
            <w:tcW w:type="dxa" w:w="1560"/>
            <w:shd w:fill="F4EFE3" w:color="auto" w:val="clear"/>
            <w:tcMar>
              <w:top w:type="dxa" w:w="100"/>
              <w:left w:type="dxa" w:w="120"/>
              <w:bottom w:type="dxa" w:w="100"/>
              <w:right w:type="dxa" w:w="120"/>
            </w:tcMar>
          </w:tcPr>
          <w:p>
            <w:r>
              <w:rPr>
                <w:b w:val="false"/>
                <w:bCs w:val="false"/>
                <w:color w:val="1C2541"/>
                <w:sz w:val="20"/>
                <w:szCs w:val="20"/>
              </w:rPr>
              <w:t xml:space="preserve">001</w:t>
            </w:r>
          </w:p>
        </w:tc>
        <w:tc>
          <w:tcPr>
            <w:tcW w:type="dxa" w:w="1560"/>
            <w:shd w:fill="F4EFE3" w:color="auto" w:val="clear"/>
            <w:tcMar>
              <w:top w:type="dxa" w:w="100"/>
              <w:left w:type="dxa" w:w="120"/>
              <w:bottom w:type="dxa" w:w="100"/>
              <w:right w:type="dxa" w:w="120"/>
            </w:tcMar>
          </w:tcPr>
          <w:p>
            <w:r>
              <w:rPr>
                <w:b w:val="false"/>
                <w:bCs w:val="false"/>
                <w:color w:val="1C2541"/>
                <w:sz w:val="20"/>
                <w:szCs w:val="20"/>
              </w:rPr>
              <w:t xml:space="preserve">Ricardo Morgan</w:t>
            </w:r>
          </w:p>
        </w:tc>
        <w:tc>
          <w:tcPr>
            <w:tcW w:type="dxa" w:w="1560"/>
            <w:shd w:fill="F4EFE3" w:color="auto" w:val="clear"/>
            <w:tcMar>
              <w:top w:type="dxa" w:w="100"/>
              <w:left w:type="dxa" w:w="120"/>
              <w:bottom w:type="dxa" w:w="100"/>
              <w:right w:type="dxa" w:w="120"/>
            </w:tcMar>
          </w:tcPr>
          <w:p>
            <w:r>
              <w:rPr>
                <w:b w:val="false"/>
                <w:bCs w:val="false"/>
                <w:color w:val="1C2541"/>
                <w:sz w:val="20"/>
                <w:szCs w:val="20"/>
              </w:rPr>
              <w:t xml:space="preserve">Info. Tech.</w:t>
            </w:r>
          </w:p>
        </w:tc>
        <w:tc>
          <w:tcPr>
            <w:tcW w:type="dxa" w:w="1560"/>
            <w:shd w:fill="F4EFE3" w:color="auto" w:val="clear"/>
            <w:tcMar>
              <w:top w:type="dxa" w:w="100"/>
              <w:left w:type="dxa" w:w="120"/>
              <w:bottom w:type="dxa" w:w="100"/>
              <w:right w:type="dxa" w:w="120"/>
            </w:tcMar>
          </w:tcPr>
          <w:p>
            <w:r>
              <w:rPr>
                <w:b w:val="false"/>
                <w:bCs w:val="false"/>
                <w:color w:val="1C2541"/>
                <w:sz w:val="20"/>
                <w:szCs w:val="20"/>
              </w:rPr>
              <w:t xml:space="preserve">I</w:t>
            </w:r>
          </w:p>
        </w:tc>
        <w:tc>
          <w:tcPr>
            <w:tcW w:type="dxa" w:w="3120"/>
            <w:shd w:fill="F4EFE3" w:color="auto" w:val="clear"/>
            <w:tcMar>
              <w:top w:type="dxa" w:w="100"/>
              <w:left w:type="dxa" w:w="120"/>
              <w:bottom w:type="dxa" w:w="100"/>
              <w:right w:type="dxa" w:w="120"/>
            </w:tcMar>
          </w:tcPr>
          <w:p>
            <w:r>
              <w:rPr>
                <w:b w:val="false"/>
                <w:bCs w:val="false"/>
                <w:color w:val="1C2541"/>
                <w:sz w:val="20"/>
                <w:szCs w:val="20"/>
              </w:rPr>
              <w:t xml:space="preserve">One cell (a single value)</w:t>
            </w:r>
          </w:p>
        </w:tc>
      </w:tr>
      <w:tr>
        <w:tc>
          <w:tcPr>
            <w:tcW w:type="dxa" w:w="1560"/>
            <w:tcMar>
              <w:top w:type="dxa" w:w="100"/>
              <w:left w:type="dxa" w:w="120"/>
              <w:bottom w:type="dxa" w:w="100"/>
              <w:right w:type="dxa" w:w="120"/>
            </w:tcMar>
          </w:tcPr>
          <w:p>
            <w:r>
              <w:rPr>
                <w:b w:val="false"/>
                <w:bCs w:val="false"/>
                <w:color w:val="1C2541"/>
                <w:sz w:val="20"/>
                <w:szCs w:val="20"/>
              </w:rPr>
              <w:t xml:space="preserve">002</w:t>
            </w:r>
          </w:p>
        </w:tc>
        <w:tc>
          <w:tcPr>
            <w:tcW w:type="dxa" w:w="1560"/>
            <w:tcMar>
              <w:top w:type="dxa" w:w="100"/>
              <w:left w:type="dxa" w:w="120"/>
              <w:bottom w:type="dxa" w:w="100"/>
              <w:right w:type="dxa" w:w="120"/>
            </w:tcMar>
          </w:tcPr>
          <w:p>
            <w:r>
              <w:rPr>
                <w:b w:val="false"/>
                <w:bCs w:val="false"/>
                <w:color w:val="1C2541"/>
                <w:sz w:val="20"/>
                <w:szCs w:val="20"/>
              </w:rPr>
              <w:t xml:space="preserve">Chavel Folkes</w:t>
            </w:r>
          </w:p>
        </w:tc>
        <w:tc>
          <w:tcPr>
            <w:tcW w:type="dxa" w:w="1560"/>
            <w:tcMar>
              <w:top w:type="dxa" w:w="100"/>
              <w:left w:type="dxa" w:w="120"/>
              <w:bottom w:type="dxa" w:w="100"/>
              <w:right w:type="dxa" w:w="120"/>
            </w:tcMar>
          </w:tcPr>
          <w:p>
            <w:r>
              <w:rPr>
                <w:b w:val="false"/>
                <w:bCs w:val="false"/>
                <w:color w:val="1C2541"/>
                <w:sz w:val="20"/>
                <w:szCs w:val="20"/>
              </w:rPr>
              <w:t xml:space="preserve">Info. Tech.</w:t>
            </w:r>
          </w:p>
        </w:tc>
        <w:tc>
          <w:tcPr>
            <w:tcW w:type="dxa" w:w="1560"/>
            <w:tcMar>
              <w:top w:type="dxa" w:w="100"/>
              <w:left w:type="dxa" w:w="120"/>
              <w:bottom w:type="dxa" w:w="100"/>
              <w:right w:type="dxa" w:w="120"/>
            </w:tcMar>
          </w:tcPr>
          <w:p>
            <w:r>
              <w:rPr>
                <w:b w:val="false"/>
                <w:bCs w:val="false"/>
                <w:color w:val="1C2541"/>
                <w:sz w:val="20"/>
                <w:szCs w:val="20"/>
              </w:rPr>
              <w:t xml:space="preserve">I</w:t>
            </w:r>
          </w:p>
        </w:tc>
        <w:tc>
          <w:tcPr>
            <w:tcW w:type="dxa" w:w="3120"/>
            <w:tcMar>
              <w:top w:type="dxa" w:w="100"/>
              <w:left w:type="dxa" w:w="120"/>
              <w:bottom w:type="dxa" w:w="100"/>
              <w:right w:type="dxa" w:w="120"/>
            </w:tcMar>
          </w:tcPr>
          <w:p>
            <w:r>
              <w:rPr>
                <w:b w:val="false"/>
                <w:bCs w:val="false"/>
                <w:color w:val="1C2541"/>
                <w:sz w:val="20"/>
                <w:szCs w:val="20"/>
              </w:rPr>
              <w:t xml:space="preserve">The “Name” column across all rows = a field</w:t>
            </w:r>
          </w:p>
        </w:tc>
      </w:tr>
      <w:tr>
        <w:tc>
          <w:tcPr>
            <w:tcW w:type="dxa" w:w="1560"/>
            <w:shd w:fill="F4EFE3" w:color="auto" w:val="clear"/>
            <w:tcMar>
              <w:top w:type="dxa" w:w="100"/>
              <w:left w:type="dxa" w:w="120"/>
              <w:bottom w:type="dxa" w:w="100"/>
              <w:right w:type="dxa" w:w="120"/>
            </w:tcMar>
          </w:tcPr>
          <w:p>
            <w:r>
              <w:rPr>
                <w:b w:val="false"/>
                <w:bCs w:val="false"/>
                <w:color w:val="1C2541"/>
                <w:sz w:val="20"/>
                <w:szCs w:val="20"/>
              </w:rPr>
              <w:t xml:space="preserve">—</w:t>
            </w:r>
          </w:p>
        </w:tc>
        <w:tc>
          <w:tcPr>
            <w:tcW w:type="dxa" w:w="1560"/>
            <w:shd w:fill="F4EFE3" w:color="auto" w:val="clear"/>
            <w:tcMar>
              <w:top w:type="dxa" w:w="100"/>
              <w:left w:type="dxa" w:w="120"/>
              <w:bottom w:type="dxa" w:w="100"/>
              <w:right w:type="dxa" w:w="120"/>
            </w:tcMar>
          </w:tcPr>
          <w:p>
            <w:r>
              <w:rPr>
                <w:b w:val="false"/>
                <w:bCs w:val="false"/>
                <w:color w:val="1C2541"/>
                <w:sz w:val="20"/>
                <w:szCs w:val="20"/>
              </w:rPr>
              <w:t xml:space="preserve">—</w:t>
            </w:r>
          </w:p>
        </w:tc>
        <w:tc>
          <w:tcPr>
            <w:tcW w:type="dxa" w:w="1560"/>
            <w:shd w:fill="F4EFE3" w:color="auto" w:val="clear"/>
            <w:tcMar>
              <w:top w:type="dxa" w:w="100"/>
              <w:left w:type="dxa" w:w="120"/>
              <w:bottom w:type="dxa" w:w="100"/>
              <w:right w:type="dxa" w:w="120"/>
            </w:tcMar>
          </w:tcPr>
          <w:p>
            <w:r>
              <w:rPr>
                <w:b w:val="false"/>
                <w:bCs w:val="false"/>
                <w:color w:val="1C2541"/>
                <w:sz w:val="20"/>
                <w:szCs w:val="20"/>
              </w:rPr>
              <w:t xml:space="preserve">—</w:t>
            </w:r>
          </w:p>
        </w:tc>
        <w:tc>
          <w:tcPr>
            <w:tcW w:type="dxa" w:w="1560"/>
            <w:shd w:fill="F4EFE3" w:color="auto" w:val="clear"/>
            <w:tcMar>
              <w:top w:type="dxa" w:w="100"/>
              <w:left w:type="dxa" w:w="120"/>
              <w:bottom w:type="dxa" w:w="100"/>
              <w:right w:type="dxa" w:w="120"/>
            </w:tcMar>
          </w:tcPr>
          <w:p>
            <w:r>
              <w:rPr>
                <w:b w:val="false"/>
                <w:bCs w:val="false"/>
                <w:color w:val="1C2541"/>
                <w:sz w:val="20"/>
                <w:szCs w:val="20"/>
              </w:rPr>
              <w:t xml:space="preserve">—</w:t>
            </w:r>
          </w:p>
        </w:tc>
        <w:tc>
          <w:tcPr>
            <w:tcW w:type="dxa" w:w="3120"/>
            <w:shd w:fill="F4EFE3" w:color="auto" w:val="clear"/>
            <w:tcMar>
              <w:top w:type="dxa" w:w="100"/>
              <w:left w:type="dxa" w:w="120"/>
              <w:bottom w:type="dxa" w:w="100"/>
              <w:right w:type="dxa" w:w="120"/>
            </w:tcMar>
          </w:tcPr>
          <w:p>
            <w:r>
              <w:rPr>
                <w:b w:val="false"/>
                <w:bCs w:val="false"/>
                <w:color w:val="1C2541"/>
                <w:sz w:val="20"/>
                <w:szCs w:val="20"/>
              </w:rPr>
              <w:t xml:space="preserve">Ricardo’s entire row = a record</w:t>
            </w:r>
          </w:p>
        </w:tc>
      </w:tr>
      <w:tr>
        <w:tc>
          <w:tcPr>
            <w:tcW w:type="dxa" w:w="1560"/>
            <w:tcMar>
              <w:top w:type="dxa" w:w="100"/>
              <w:left w:type="dxa" w:w="120"/>
              <w:bottom w:type="dxa" w:w="100"/>
              <w:right w:type="dxa" w:w="120"/>
            </w:tcMar>
          </w:tcPr>
          <w:p>
            <w:r>
              <w:rPr>
                <w:b w:val="false"/>
                <w:bCs w:val="false"/>
                <w:color w:val="1C2541"/>
                <w:sz w:val="20"/>
                <w:szCs w:val="20"/>
              </w:rPr>
              <w:t xml:space="preserve">—</w:t>
            </w:r>
          </w:p>
        </w:tc>
        <w:tc>
          <w:tcPr>
            <w:tcW w:type="dxa" w:w="1560"/>
            <w:tcMar>
              <w:top w:type="dxa" w:w="100"/>
              <w:left w:type="dxa" w:w="120"/>
              <w:bottom w:type="dxa" w:w="100"/>
              <w:right w:type="dxa" w:w="120"/>
            </w:tcMar>
          </w:tcPr>
          <w:p>
            <w:r>
              <w:rPr>
                <w:b w:val="false"/>
                <w:bCs w:val="false"/>
                <w:color w:val="1C2541"/>
                <w:sz w:val="20"/>
                <w:szCs w:val="20"/>
              </w:rPr>
              <w:t xml:space="preserve">—</w:t>
            </w:r>
          </w:p>
        </w:tc>
        <w:tc>
          <w:tcPr>
            <w:tcW w:type="dxa" w:w="1560"/>
            <w:tcMar>
              <w:top w:type="dxa" w:w="100"/>
              <w:left w:type="dxa" w:w="120"/>
              <w:bottom w:type="dxa" w:w="100"/>
              <w:right w:type="dxa" w:w="120"/>
            </w:tcMar>
          </w:tcPr>
          <w:p>
            <w:r>
              <w:rPr>
                <w:b w:val="false"/>
                <w:bCs w:val="false"/>
                <w:color w:val="1C2541"/>
                <w:sz w:val="20"/>
                <w:szCs w:val="20"/>
              </w:rPr>
              <w:t xml:space="preserve">—</w:t>
            </w:r>
          </w:p>
        </w:tc>
        <w:tc>
          <w:tcPr>
            <w:tcW w:type="dxa" w:w="1560"/>
            <w:tcMar>
              <w:top w:type="dxa" w:w="100"/>
              <w:left w:type="dxa" w:w="120"/>
              <w:bottom w:type="dxa" w:w="100"/>
              <w:right w:type="dxa" w:w="120"/>
            </w:tcMar>
          </w:tcPr>
          <w:p>
            <w:r>
              <w:rPr>
                <w:b w:val="false"/>
                <w:bCs w:val="false"/>
                <w:color w:val="1C2541"/>
                <w:sz w:val="20"/>
                <w:szCs w:val="20"/>
              </w:rPr>
              <w:t xml:space="preserve">—</w:t>
            </w:r>
          </w:p>
        </w:tc>
        <w:tc>
          <w:tcPr>
            <w:tcW w:type="dxa" w:w="3120"/>
            <w:tcMar>
              <w:top w:type="dxa" w:w="100"/>
              <w:left w:type="dxa" w:w="120"/>
              <w:bottom w:type="dxa" w:w="100"/>
              <w:right w:type="dxa" w:w="120"/>
            </w:tcMar>
          </w:tcPr>
          <w:p>
            <w:r>
              <w:rPr>
                <w:b w:val="false"/>
                <w:bCs w:val="false"/>
                <w:color w:val="1C2541"/>
                <w:sz w:val="20"/>
                <w:szCs w:val="20"/>
              </w:rPr>
              <w:t xml:space="preserve">The whole grid of students = a table</w:t>
            </w:r>
          </w:p>
        </w:tc>
      </w:tr>
    </w:tbl>
    <w:p>
      <w:pPr>
        <w:spacing w:after="120"/>
      </w:pPr>
      <w:r>
        <w:t xml:space="preserve"/>
      </w:r>
    </w:p>
    <w:p>
      <w:pPr>
        <w:spacing w:after="120"/>
      </w:pPr>
      <w:r>
        <w:t xml:space="preserve">Circulate as students label their own blank hierarchy-ladder worksheet, checking for the database/DBMS confusion in particular and correcting misconceptions in real time.</w:t>
      </w:r>
    </w:p>
    <w:p>
      <w:pPr>
        <w:pStyle w:val="Heading3"/>
        <w:spacing w:after="120" w:before="240"/>
      </w:pPr>
      <w:r>
        <w:rPr>
          <w:b/>
          <w:bCs/>
          <w:color w:val="B33A3A"/>
        </w:rPr>
        <w:t xml:space="preserve">4. Independent Practice (15 minutes)</w:t>
      </w:r>
    </w:p>
    <w:p>
      <w:pPr>
        <w:spacing w:after="120"/>
      </w:pPr>
      <w:r>
        <w:t xml:space="preserve">Students work individually (or in pairs) through the “Data Hierarchy” interactive explainer lesson on a computer or tablet, clicking through all steps and completing the embedded example questions. Fast finishers attempt the follow-up task: sketch a small table of their own choosing (e.g. a music playlist or a sports team roster) and label one field, one record and the table.</w:t>
      </w:r>
    </w:p>
    <w:p>
      <w:pPr>
        <w:pStyle w:val="Heading3"/>
        <w:spacing w:after="120" w:before="240"/>
      </w:pPr>
      <w:r>
        <w:rPr>
          <w:b/>
          <w:bCs/>
          <w:color w:val="B33A3A"/>
        </w:rPr>
        <w:t xml:space="preserve">5. Closure / Assessment (10 minutes)</w:t>
      </w:r>
    </w:p>
    <w:p>
      <w:pPr>
        <w:spacing w:after="120"/>
      </w:pPr>
      <w:r>
        <w:t xml:space="preserve">Cold-call three students to each define one term (field, record, database) in their own words. Pose the exit-ticket question: “A school keeps a computer file of all students’ contact details, managed using Microsoft Access. Identify the field, the record, the database, and the DBMS in this scenario.” Students submit their answer on an index card before leaving.</w:t>
      </w:r>
    </w:p>
    <w:p>
      <w:pPr>
        <w:pStyle w:val="Heading2"/>
        <w:spacing w:after="120" w:before="240"/>
      </w:pPr>
      <w:r>
        <w:rPr>
          <w:b/>
          <w:bCs/>
          <w:color w:val="3E7C74"/>
        </w:rPr>
        <w:t xml:space="preserve">Homework</w:t>
      </w:r>
    </w:p>
    <w:p>
      <w:pPr>
        <w:pStyle w:val="ListParagraph"/>
        <w:numPr>
          <w:ilvl w:val="0"/>
          <w:numId w:val="2"/>
        </w:numPr>
        <w:spacing w:after="60"/>
      </w:pPr>
      <w:r>
        <w:t xml:space="preserve">Read the corresponding section in “Keep It Simple and Study” (Campbell) on data hierarchy and information management terms.</w:t>
      </w:r>
    </w:p>
    <w:p>
      <w:pPr>
        <w:pStyle w:val="ListParagraph"/>
        <w:numPr>
          <w:ilvl w:val="0"/>
          <w:numId w:val="2"/>
        </w:numPr>
        <w:spacing w:after="60"/>
      </w:pPr>
      <w:r>
        <w:t xml:space="preserve">Complete the “Information Management Textbook Recap” interactive explainer lesson (info-management-textbook-explainer.html) before the next class.</w:t>
      </w:r>
    </w:p>
    <w:p>
      <w:pPr>
        <w:pStyle w:val="ListParagraph"/>
        <w:numPr>
          <w:ilvl w:val="0"/>
          <w:numId w:val="2"/>
        </w:numPr>
        <w:spacing w:after="60"/>
      </w:pPr>
      <w:r>
        <w:t xml:space="preserve">Write two original sentences that each correctly use the terms field, record and database.</w:t>
      </w:r>
    </w:p>
    <w:p>
      <w:pPr>
        <w:pStyle w:val="Heading2"/>
        <w:spacing w:after="120" w:before="240"/>
      </w:pPr>
      <w:r>
        <w:rPr>
          <w:b/>
          <w:bCs/>
          <w:color w:val="3E7C74"/>
        </w:rPr>
        <w:t xml:space="preserve">Assessment Strategies</w:t>
      </w:r>
    </w:p>
    <w:p>
      <w:pPr>
        <w:pStyle w:val="ListParagraph"/>
        <w:numPr>
          <w:ilvl w:val="0"/>
          <w:numId w:val="2"/>
        </w:numPr>
        <w:spacing w:after="60"/>
      </w:pPr>
      <w:r>
        <w:t xml:space="preserve">Formative: guided-practice questioning during the table walkthrough; observation during independent practice; exit-ticket scenario question.</w:t>
      </w:r>
    </w:p>
    <w:p>
      <w:pPr>
        <w:pStyle w:val="ListParagraph"/>
        <w:numPr>
          <w:ilvl w:val="0"/>
          <w:numId w:val="2"/>
        </w:numPr>
        <w:spacing w:after="60"/>
      </w:pPr>
      <w:r>
        <w:t xml:space="preserve">Summative (later): short-answer question in the Module 1 test requiring students to label a data hierarchy and distinguish database from DBMS.</w:t>
      </w:r>
    </w:p>
    <w:p>
      <w:pPr>
        <w:pStyle w:val="Heading2"/>
        <w:spacing w:after="120" w:before="240"/>
      </w:pPr>
      <w:r>
        <w:rPr>
          <w:b/>
          <w:bCs/>
          <w:color w:val="3E7C74"/>
        </w:rPr>
        <w:t xml:space="preserve">Evaluation (to be completed after teaching)</w:t>
      </w:r>
    </w:p>
    <w:p>
      <w:pPr>
        <w:spacing w:after="120"/>
      </w:pPr>
      <w:r>
        <w:t xml:space="preserve">Space for the teacher to reflect after delivery:</w:t>
      </w:r>
    </w:p>
    <w:p>
      <w:pPr>
        <w:pStyle w:val="ListParagraph"/>
        <w:numPr>
          <w:ilvl w:val="0"/>
          <w:numId w:val="2"/>
        </w:numPr>
        <w:spacing w:after="60"/>
      </w:pPr>
      <w:r>
        <w:t xml:space="preserve">Were the behavioural objectives achieved? What evidence supports this?</w:t>
      </w:r>
    </w:p>
    <w:p>
      <w:pPr>
        <w:pStyle w:val="ListParagraph"/>
        <w:numPr>
          <w:ilvl w:val="0"/>
          <w:numId w:val="2"/>
        </w:numPr>
        <w:spacing w:after="60"/>
      </w:pPr>
      <w:r>
        <w:t xml:space="preserve">Which students showed continued confusion between database and DBMS, and what re-teaching is needed?</w:t>
      </w:r>
    </w:p>
    <w:p>
      <w:pPr>
        <w:pStyle w:val="ListParagraph"/>
        <w:numPr>
          <w:ilvl w:val="0"/>
          <w:numId w:val="2"/>
        </w:numPr>
        <w:spacing w:after="60"/>
      </w:pPr>
      <w:r>
        <w:t xml:space="preserve">Did the timing of each stage hold, or does the pacing need adjustment next time?</w:t>
      </w:r>
    </w:p>
    <w:p>
      <w:pPr>
        <w:pStyle w:val="ListParagraph"/>
        <w:numPr>
          <w:ilvl w:val="0"/>
          <w:numId w:val="2"/>
        </w:numPr>
        <w:spacing w:after="60"/>
      </w:pPr>
      <w:r>
        <w:t xml:space="preserve">Follow-up actions for the next lesson (Objective 2: history of data storage).</w:t>
      </w:r>
    </w:p>
    <w:sectPr>
      <w:pgSz w:w="12240" w:h="15840"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2026-09-15T01:37:31.826Z</dcterms:created>
  <dcterms:modified xsi:type="dcterms:W3CDTF">2026-09-15T01:37:31.832Z</dcterms:modified>
</cp:coreProperties>
</file>

<file path=docProps/custom.xml><?xml version="1.0" encoding="utf-8"?>
<Properties xmlns="http://schemas.openxmlformats.org/officeDocument/2006/custom-properties" xmlns:vt="http://schemas.openxmlformats.org/officeDocument/2006/docPropsVTypes"/>
</file>